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FangSong" w:hAnsi="FangSong" w:eastAsia="FangSong"/>
          <w:b/>
          <w:sz w:val="36"/>
          <w:szCs w:val="36"/>
        </w:rPr>
      </w:pPr>
      <w:r>
        <w:rPr>
          <w:rFonts w:hint="eastAsia" w:ascii="FangSong" w:hAnsi="FangSong" w:eastAsia="FangSong"/>
          <w:b/>
          <w:sz w:val="36"/>
          <w:szCs w:val="36"/>
        </w:rPr>
        <w:t>《数据公园：全球设计创新数据库》</w:t>
      </w:r>
      <w:r>
        <w:rPr>
          <w:rFonts w:hint="eastAsia" w:ascii="FangSong" w:hAnsi="FangSong" w:eastAsia="FangSong"/>
          <w:b/>
          <w:sz w:val="36"/>
          <w:szCs w:val="36"/>
          <w:lang w:val="en-US" w:eastAsia="zh-Hans"/>
        </w:rPr>
        <w:t>介绍与使用手册</w:t>
      </w:r>
    </w:p>
    <w:p>
      <w:pPr>
        <w:pStyle w:val="2"/>
      </w:pPr>
      <w:bookmarkStart w:id="0" w:name="_Toc66281620"/>
      <w:bookmarkStart w:id="1" w:name="_Toc67556406"/>
      <w:r>
        <w:rPr>
          <w:rFonts w:hint="eastAsia"/>
        </w:rPr>
        <w:t>一．产品</w:t>
      </w:r>
      <w:bookmarkEnd w:id="0"/>
      <w:bookmarkEnd w:id="1"/>
      <w:r>
        <w:rPr>
          <w:rFonts w:hint="eastAsia"/>
          <w:lang w:val="en-US" w:eastAsia="zh-Hans"/>
        </w:rPr>
        <w:t>简介</w:t>
      </w:r>
    </w:p>
    <w:p>
      <w:pPr>
        <w:spacing w:line="276" w:lineRule="auto"/>
        <w:jc w:val="center"/>
        <w:rPr>
          <w:rFonts w:ascii="FangSong" w:hAnsi="FangSong" w:eastAsia="FangSong"/>
          <w:kern w:val="0"/>
          <w:sz w:val="21"/>
          <w:szCs w:val="21"/>
        </w:rPr>
      </w:pPr>
      <w:r>
        <w:rPr>
          <w:rFonts w:ascii="FangSong" w:hAnsi="FangSong" w:eastAsia="FangSong"/>
          <w:kern w:val="0"/>
          <w:sz w:val="21"/>
          <w:szCs w:val="21"/>
        </w:rPr>
        <w:drawing>
          <wp:inline distT="0" distB="0" distL="0" distR="0">
            <wp:extent cx="4972685" cy="2405380"/>
            <wp:effectExtent l="0" t="0" r="5715" b="7620"/>
            <wp:docPr id="3" name="图片 3" descr="未命名.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未命名.001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2685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360" w:firstLineChars="200"/>
        <w:jc w:val="center"/>
        <w:rPr>
          <w:rFonts w:hint="eastAsia" w:ascii="FangSong" w:hAnsi="FangSong" w:eastAsia="FangSong"/>
          <w:kern w:val="0"/>
          <w:sz w:val="18"/>
          <w:szCs w:val="18"/>
        </w:rPr>
      </w:pPr>
      <w:r>
        <w:rPr>
          <w:rFonts w:hint="eastAsia" w:ascii="FangSong" w:hAnsi="FangSong" w:eastAsia="FangSong"/>
          <w:kern w:val="0"/>
          <w:sz w:val="18"/>
          <w:szCs w:val="18"/>
        </w:rPr>
        <w:t>(产品首页)</w:t>
      </w:r>
    </w:p>
    <w:p>
      <w:pPr>
        <w:spacing w:line="276" w:lineRule="auto"/>
        <w:ind w:firstLine="360" w:firstLineChars="200"/>
        <w:jc w:val="center"/>
        <w:rPr>
          <w:rFonts w:hint="eastAsia" w:ascii="FangSong" w:hAnsi="FangSong" w:eastAsia="FangSong"/>
          <w:kern w:val="0"/>
          <w:sz w:val="18"/>
          <w:szCs w:val="18"/>
        </w:rPr>
      </w:pPr>
    </w:p>
    <w:p>
      <w:pPr>
        <w:ind w:firstLine="480" w:firstLineChars="200"/>
        <w:rPr>
          <w:rFonts w:ascii="FangSong" w:hAnsi="FangSong" w:eastAsia="FangSong"/>
          <w:kern w:val="0"/>
          <w:sz w:val="24"/>
          <w:szCs w:val="24"/>
        </w:rPr>
      </w:pPr>
      <w:r>
        <w:rPr>
          <w:rFonts w:hint="eastAsia" w:ascii="FangSong" w:hAnsi="FangSong" w:eastAsia="FangSong"/>
          <w:kern w:val="0"/>
          <w:sz w:val="24"/>
          <w:szCs w:val="24"/>
        </w:rPr>
        <w:t>《数据公园》由来自清华大学、中央美术学院、斯坦福大学的研究员与学者发起，是以全球设计创新、品牌创新、消费趋势为核心，以支持创新人才培养与本土创业就业为目标的数据库。</w:t>
      </w:r>
      <w:r>
        <w:rPr>
          <w:rFonts w:hint="eastAsia" w:ascii="FangSong" w:hAnsi="FangSong" w:eastAsia="FangSong"/>
          <w:b/>
          <w:kern w:val="0"/>
          <w:sz w:val="24"/>
          <w:szCs w:val="24"/>
        </w:rPr>
        <w:t>有效帮助用户开拓视野与提升创新能力，时刻与全球创新趋势同步。</w:t>
      </w:r>
      <w:r>
        <w:rPr>
          <w:rFonts w:ascii="FangSong" w:hAnsi="FangSong" w:eastAsia="FangSong"/>
          <w:b/>
          <w:kern w:val="0"/>
          <w:sz w:val="24"/>
          <w:szCs w:val="24"/>
        </w:rPr>
        <w:t xml:space="preserve"> </w:t>
      </w:r>
      <w:r>
        <w:rPr>
          <w:rFonts w:hint="eastAsia" w:ascii="FangSong" w:hAnsi="FangSong" w:eastAsia="FangSong"/>
          <w:kern w:val="0"/>
          <w:sz w:val="24"/>
          <w:szCs w:val="24"/>
        </w:rPr>
        <w:t>库内包含产品设计、时尚设计、品牌营销与视觉设计、室内设计、建筑设计、消费趋势6大版块。</w:t>
      </w:r>
    </w:p>
    <w:p>
      <w:pPr>
        <w:spacing w:line="276" w:lineRule="auto"/>
        <w:rPr>
          <w:rFonts w:ascii="FangSong" w:hAnsi="FangSong" w:eastAsia="FangSong"/>
          <w:kern w:val="0"/>
          <w:sz w:val="28"/>
          <w:szCs w:val="28"/>
        </w:rPr>
      </w:pPr>
    </w:p>
    <w:p>
      <w:pPr>
        <w:pStyle w:val="2"/>
        <w:spacing w:line="276" w:lineRule="auto"/>
        <w:rPr>
          <w:sz w:val="28"/>
          <w:szCs w:val="28"/>
        </w:rPr>
      </w:pPr>
      <w:bookmarkStart w:id="2" w:name="_Toc67556407"/>
      <w:r>
        <w:rPr>
          <w:rFonts w:hint="eastAsia"/>
          <w:sz w:val="28"/>
          <w:szCs w:val="28"/>
        </w:rPr>
        <w:t>二．资源与应用场景</w:t>
      </w:r>
      <w:bookmarkEnd w:id="2"/>
    </w:p>
    <w:p>
      <w:pPr>
        <w:spacing w:line="276" w:lineRule="auto"/>
        <w:rPr>
          <w:rFonts w:ascii="FangSong" w:hAnsi="FangSong" w:eastAsia="FangSong"/>
          <w:kern w:val="0"/>
          <w:sz w:val="28"/>
          <w:szCs w:val="28"/>
        </w:rPr>
      </w:pPr>
      <w:r>
        <w:rPr>
          <w:rFonts w:hint="eastAsia" w:ascii="FangSong" w:hAnsi="FangSong" w:eastAsia="FangSong"/>
          <w:kern w:val="0"/>
          <w:sz w:val="24"/>
          <w:szCs w:val="24"/>
        </w:rPr>
        <w:t>库内包含趋势报告、图表数据、品牌案例、大师演讲视频等资源，从趋势、商业、消费、设计、产品等维度解析各领域的全球动态，帮助用户第一时间了解全球创新与商业变化，为日常设计学习、设计项目、就业创业规划、科研教学提供前瞻性的素材。</w:t>
      </w:r>
    </w:p>
    <w:p>
      <w:pPr>
        <w:spacing w:line="276" w:lineRule="auto"/>
        <w:rPr>
          <w:rFonts w:ascii="FangSong" w:hAnsi="FangSong" w:eastAsia="FangSong"/>
          <w:kern w:val="0"/>
          <w:sz w:val="21"/>
          <w:szCs w:val="21"/>
        </w:rPr>
      </w:pPr>
    </w:p>
    <w:p>
      <w:pPr>
        <w:pStyle w:val="4"/>
        <w:rPr>
          <w:sz w:val="28"/>
          <w:szCs w:val="28"/>
        </w:rPr>
      </w:pPr>
      <w:bookmarkStart w:id="3" w:name="_Toc67556408"/>
      <w:r>
        <w:rPr>
          <w:rFonts w:hint="eastAsia"/>
        </w:rPr>
        <w:t>1.日常学习与项目</w:t>
      </w:r>
      <w:bookmarkEnd w:id="3"/>
    </w:p>
    <w:p>
      <w:pPr>
        <w:pStyle w:val="20"/>
        <w:numPr>
          <w:ilvl w:val="0"/>
          <w:numId w:val="1"/>
        </w:numPr>
        <w:spacing w:line="276" w:lineRule="auto"/>
        <w:ind w:firstLineChars="0"/>
        <w:rPr>
          <w:sz w:val="28"/>
          <w:szCs w:val="28"/>
        </w:rPr>
      </w:pPr>
      <w:r>
        <w:rPr>
          <w:rFonts w:hint="eastAsia" w:ascii="FangSong" w:hAnsi="FangSong" w:eastAsia="FangSong"/>
          <w:b/>
          <w:kern w:val="0"/>
          <w:sz w:val="28"/>
          <w:szCs w:val="28"/>
        </w:rPr>
        <w:t>建筑与室内设计资源</w:t>
      </w:r>
    </w:p>
    <w:p>
      <w:pPr>
        <w:spacing w:line="276" w:lineRule="auto"/>
        <w:ind w:firstLine="48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FangSong" w:hAnsi="FangSong" w:eastAsia="FangSong"/>
          <w:kern w:val="0"/>
          <w:sz w:val="24"/>
          <w:szCs w:val="24"/>
        </w:rPr>
        <w:t>建筑与室内板块为用户在日常学习与项目中提供设计灵感、前沿理念、创新材料与造型等设计所必须的维度与前沿知识。</w:t>
      </w:r>
      <w:r>
        <w:rPr>
          <w:rFonts w:hint="eastAsia" w:ascii="仿宋" w:hAnsi="仿宋" w:eastAsia="仿宋"/>
          <w:sz w:val="24"/>
          <w:szCs w:val="24"/>
        </w:rPr>
        <w:t>内含住宅、商业空间、文化建筑、工业建筑、园林景观、改造项目、乡村建设、餐饮空间、零售店，家居、办公等领域。</w:t>
      </w:r>
    </w:p>
    <w:p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66690" cy="2378710"/>
            <wp:effectExtent l="0" t="0" r="16510" b="8890"/>
            <wp:docPr id="5" name="图片 5" descr="未命名/未命名.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未命名/未命名.00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hint="eastAsia" w:ascii="FangSong" w:hAnsi="FangSong" w:eastAsia="FangSong"/>
          <w:kern w:val="0"/>
          <w:sz w:val="21"/>
          <w:szCs w:val="21"/>
        </w:rPr>
      </w:pPr>
      <w:r>
        <w:rPr>
          <w:rFonts w:hint="eastAsia" w:ascii="FangSong" w:hAnsi="FangSong" w:eastAsia="FangSong"/>
          <w:kern w:val="0"/>
          <w:sz w:val="21"/>
          <w:szCs w:val="21"/>
        </w:rPr>
        <w:t>（室内、建筑板块内容实例）</w:t>
      </w:r>
    </w:p>
    <w:p>
      <w:pPr>
        <w:spacing w:line="276" w:lineRule="auto"/>
        <w:jc w:val="center"/>
        <w:rPr>
          <w:rFonts w:hint="eastAsia" w:ascii="FangSong" w:hAnsi="FangSong" w:eastAsia="FangSong"/>
          <w:kern w:val="0"/>
          <w:sz w:val="28"/>
          <w:szCs w:val="28"/>
        </w:rPr>
      </w:pPr>
    </w:p>
    <w:p>
      <w:pPr>
        <w:pStyle w:val="20"/>
        <w:numPr>
          <w:ilvl w:val="0"/>
          <w:numId w:val="1"/>
        </w:numPr>
        <w:spacing w:line="276" w:lineRule="auto"/>
        <w:ind w:firstLineChars="0"/>
        <w:rPr>
          <w:sz w:val="28"/>
          <w:szCs w:val="28"/>
        </w:rPr>
      </w:pPr>
      <w:r>
        <w:rPr>
          <w:rFonts w:hint="eastAsia" w:ascii="FangSong" w:hAnsi="FangSong" w:eastAsia="FangSong"/>
          <w:b/>
          <w:kern w:val="0"/>
          <w:sz w:val="28"/>
          <w:szCs w:val="28"/>
        </w:rPr>
        <w:t>视觉设计与品牌</w:t>
      </w:r>
      <w:r>
        <w:rPr>
          <w:rFonts w:hint="eastAsia" w:ascii="FangSong" w:hAnsi="FangSong" w:eastAsia="FangSong"/>
          <w:b/>
          <w:kern w:val="0"/>
          <w:sz w:val="28"/>
          <w:szCs w:val="28"/>
          <w:lang w:val="en-US" w:eastAsia="zh-Hans"/>
        </w:rPr>
        <w:t>营销</w:t>
      </w:r>
      <w:r>
        <w:rPr>
          <w:rFonts w:hint="eastAsia" w:ascii="FangSong" w:hAnsi="FangSong" w:eastAsia="FangSong"/>
          <w:b/>
          <w:kern w:val="0"/>
          <w:sz w:val="28"/>
          <w:szCs w:val="28"/>
        </w:rPr>
        <w:t>资源</w:t>
      </w:r>
    </w:p>
    <w:p>
      <w:pPr>
        <w:spacing w:line="276" w:lineRule="auto"/>
        <w:rPr>
          <w:rFonts w:hint="eastAsia" w:ascii="FangSong" w:hAnsi="FangSong" w:eastAsia="FangSong"/>
          <w:kern w:val="0"/>
          <w:sz w:val="24"/>
          <w:szCs w:val="24"/>
        </w:rPr>
      </w:pPr>
      <w:r>
        <w:rPr>
          <w:rFonts w:hint="eastAsia" w:ascii="FangSong" w:hAnsi="FangSong" w:eastAsia="FangSong"/>
          <w:kern w:val="0"/>
          <w:sz w:val="24"/>
          <w:szCs w:val="24"/>
          <w:lang w:val="en-US" w:eastAsia="zh-Hans"/>
        </w:rPr>
        <w:t>涉</w:t>
      </w:r>
      <w:r>
        <w:rPr>
          <w:rFonts w:hint="eastAsia" w:ascii="FangSong" w:hAnsi="FangSong" w:eastAsia="FangSong"/>
          <w:kern w:val="0"/>
          <w:sz w:val="24"/>
          <w:szCs w:val="24"/>
        </w:rPr>
        <w:t>及品牌系统、包装、书籍装帧、海报设计、字体设计等领域</w:t>
      </w:r>
      <w:r>
        <w:rPr>
          <w:rFonts w:hint="default" w:ascii="FangSong" w:hAnsi="FangSong" w:eastAsia="FangSong"/>
          <w:kern w:val="0"/>
          <w:sz w:val="24"/>
          <w:szCs w:val="24"/>
        </w:rPr>
        <w:t>，</w:t>
      </w:r>
      <w:r>
        <w:rPr>
          <w:rFonts w:hint="eastAsia" w:ascii="FangSong" w:hAnsi="FangSong" w:eastAsia="FangSong"/>
          <w:kern w:val="0"/>
          <w:sz w:val="24"/>
          <w:szCs w:val="24"/>
          <w:lang w:val="en-US" w:eastAsia="zh-Hans"/>
        </w:rPr>
        <w:t>为师生提供当下前沿的设计方法</w:t>
      </w:r>
      <w:r>
        <w:rPr>
          <w:rFonts w:hint="default" w:ascii="FangSong" w:hAnsi="FangSong" w:eastAsia="FangSong"/>
          <w:kern w:val="0"/>
          <w:sz w:val="24"/>
          <w:szCs w:val="24"/>
          <w:lang w:eastAsia="zh-Hans"/>
        </w:rPr>
        <w:t>、</w:t>
      </w:r>
      <w:r>
        <w:rPr>
          <w:rFonts w:hint="eastAsia" w:ascii="FangSong" w:hAnsi="FangSong" w:eastAsia="FangSong"/>
          <w:kern w:val="0"/>
          <w:sz w:val="24"/>
          <w:szCs w:val="24"/>
          <w:lang w:val="en-US" w:eastAsia="zh-Hans"/>
        </w:rPr>
        <w:t>设计策略</w:t>
      </w:r>
      <w:r>
        <w:rPr>
          <w:rFonts w:hint="default" w:ascii="FangSong" w:hAnsi="FangSong" w:eastAsia="FangSong"/>
          <w:kern w:val="0"/>
          <w:sz w:val="24"/>
          <w:szCs w:val="24"/>
          <w:lang w:eastAsia="zh-Hans"/>
        </w:rPr>
        <w:t>、</w:t>
      </w:r>
      <w:r>
        <w:rPr>
          <w:rFonts w:hint="eastAsia" w:ascii="FangSong" w:hAnsi="FangSong" w:eastAsia="FangSong"/>
          <w:kern w:val="0"/>
          <w:sz w:val="24"/>
          <w:szCs w:val="24"/>
          <w:lang w:val="en-US" w:eastAsia="zh-Hans"/>
        </w:rPr>
        <w:t>材料</w:t>
      </w:r>
      <w:r>
        <w:rPr>
          <w:rFonts w:hint="default" w:ascii="FangSong" w:hAnsi="FangSong" w:eastAsia="FangSong"/>
          <w:kern w:val="0"/>
          <w:sz w:val="24"/>
          <w:szCs w:val="24"/>
          <w:lang w:eastAsia="zh-Hans"/>
        </w:rPr>
        <w:t>、</w:t>
      </w:r>
      <w:r>
        <w:rPr>
          <w:rFonts w:hint="eastAsia" w:ascii="FangSong" w:hAnsi="FangSong" w:eastAsia="FangSong"/>
          <w:kern w:val="0"/>
          <w:sz w:val="24"/>
          <w:szCs w:val="24"/>
          <w:lang w:val="en-US" w:eastAsia="zh-Hans"/>
        </w:rPr>
        <w:t>工艺</w:t>
      </w:r>
      <w:r>
        <w:rPr>
          <w:rFonts w:hint="default" w:ascii="FangSong" w:hAnsi="FangSong" w:eastAsia="FangSong"/>
          <w:kern w:val="0"/>
          <w:sz w:val="24"/>
          <w:szCs w:val="24"/>
          <w:lang w:eastAsia="zh-Hans"/>
        </w:rPr>
        <w:t>、</w:t>
      </w:r>
      <w:r>
        <w:rPr>
          <w:rFonts w:hint="eastAsia" w:ascii="FangSong" w:hAnsi="FangSong" w:eastAsia="FangSong"/>
          <w:kern w:val="0"/>
          <w:sz w:val="24"/>
          <w:szCs w:val="24"/>
          <w:lang w:val="en-US" w:eastAsia="zh-Hans"/>
        </w:rPr>
        <w:t>图案</w:t>
      </w:r>
      <w:r>
        <w:rPr>
          <w:rFonts w:hint="default" w:ascii="FangSong" w:hAnsi="FangSong" w:eastAsia="FangSong"/>
          <w:kern w:val="0"/>
          <w:sz w:val="24"/>
          <w:szCs w:val="24"/>
          <w:lang w:eastAsia="zh-Hans"/>
        </w:rPr>
        <w:t>、</w:t>
      </w:r>
      <w:r>
        <w:rPr>
          <w:rFonts w:hint="eastAsia" w:ascii="FangSong" w:hAnsi="FangSong" w:eastAsia="FangSong"/>
          <w:kern w:val="0"/>
          <w:sz w:val="24"/>
          <w:szCs w:val="24"/>
          <w:lang w:val="en-US" w:eastAsia="zh-Hans"/>
        </w:rPr>
        <w:t>体验等知识</w:t>
      </w:r>
      <w:r>
        <w:rPr>
          <w:rFonts w:hint="eastAsia" w:ascii="FangSong" w:hAnsi="FangSong" w:eastAsia="FangSong"/>
          <w:kern w:val="0"/>
          <w:sz w:val="24"/>
          <w:szCs w:val="24"/>
        </w:rPr>
        <w:t>。</w:t>
      </w:r>
    </w:p>
    <w:p>
      <w:pPr>
        <w:spacing w:line="276" w:lineRule="auto"/>
        <w:rPr>
          <w:rFonts w:ascii="FangSong" w:hAnsi="FangSong" w:eastAsia="FangSong"/>
          <w:kern w:val="0"/>
          <w:sz w:val="28"/>
          <w:szCs w:val="28"/>
        </w:rPr>
      </w:pPr>
      <w:r>
        <w:rPr>
          <w:rFonts w:hint="eastAsia" w:ascii="FangSong" w:hAnsi="FangSong" w:eastAsia="FangSong"/>
          <w:kern w:val="0"/>
          <w:sz w:val="24"/>
          <w:szCs w:val="24"/>
        </w:rPr>
        <w:t>从品牌角度进行分析，帮助用户系统、全面、及时的了解当下</w:t>
      </w:r>
      <w:r>
        <w:rPr>
          <w:rFonts w:hint="eastAsia" w:ascii="FangSong" w:hAnsi="FangSong" w:eastAsia="FangSong"/>
          <w:kern w:val="0"/>
          <w:sz w:val="24"/>
          <w:szCs w:val="24"/>
          <w:lang w:val="en-US" w:eastAsia="zh-Hans"/>
        </w:rPr>
        <w:t>商业变化</w:t>
      </w:r>
      <w:r>
        <w:rPr>
          <w:rFonts w:hint="default" w:ascii="FangSong" w:hAnsi="FangSong" w:eastAsia="FangSong"/>
          <w:kern w:val="0"/>
          <w:sz w:val="24"/>
          <w:szCs w:val="24"/>
        </w:rPr>
        <w:t>、</w:t>
      </w:r>
      <w:r>
        <w:rPr>
          <w:rFonts w:hint="eastAsia" w:ascii="FangSong" w:hAnsi="FangSong" w:eastAsia="FangSong"/>
          <w:kern w:val="0"/>
          <w:sz w:val="24"/>
          <w:szCs w:val="24"/>
          <w:lang w:val="en-US" w:eastAsia="zh-Hans"/>
        </w:rPr>
        <w:t>行业发展</w:t>
      </w:r>
      <w:r>
        <w:rPr>
          <w:rFonts w:hint="default" w:ascii="FangSong" w:hAnsi="FangSong" w:eastAsia="FangSong"/>
          <w:kern w:val="0"/>
          <w:sz w:val="24"/>
          <w:szCs w:val="24"/>
          <w:lang w:eastAsia="zh-Hans"/>
        </w:rPr>
        <w:t>、</w:t>
      </w:r>
      <w:r>
        <w:rPr>
          <w:rFonts w:hint="eastAsia" w:ascii="FangSong" w:hAnsi="FangSong" w:eastAsia="FangSong"/>
          <w:kern w:val="0"/>
          <w:sz w:val="24"/>
          <w:szCs w:val="24"/>
          <w:lang w:val="en-US" w:eastAsia="zh-Hans"/>
        </w:rPr>
        <w:t>创新方向</w:t>
      </w:r>
      <w:r>
        <w:rPr>
          <w:rFonts w:hint="default" w:ascii="FangSong" w:hAnsi="FangSong" w:eastAsia="FangSong"/>
          <w:kern w:val="0"/>
          <w:sz w:val="24"/>
          <w:szCs w:val="24"/>
          <w:lang w:eastAsia="zh-Hans"/>
        </w:rPr>
        <w:t>，</w:t>
      </w:r>
      <w:r>
        <w:rPr>
          <w:rFonts w:hint="eastAsia" w:ascii="FangSong" w:hAnsi="FangSong" w:eastAsia="FangSong"/>
          <w:kern w:val="0"/>
          <w:sz w:val="24"/>
          <w:szCs w:val="24"/>
          <w:lang w:val="en-US" w:eastAsia="zh-Hans"/>
        </w:rPr>
        <w:t>以及新兴消费品牌的定位</w:t>
      </w:r>
      <w:r>
        <w:rPr>
          <w:rFonts w:hint="default" w:ascii="FangSong" w:hAnsi="FangSong" w:eastAsia="FangSong"/>
          <w:kern w:val="0"/>
          <w:sz w:val="24"/>
          <w:szCs w:val="24"/>
          <w:lang w:eastAsia="zh-Hans"/>
        </w:rPr>
        <w:t>、</w:t>
      </w:r>
      <w:r>
        <w:rPr>
          <w:rFonts w:hint="eastAsia" w:ascii="FangSong" w:hAnsi="FangSong" w:eastAsia="FangSong"/>
          <w:kern w:val="0"/>
          <w:sz w:val="24"/>
          <w:szCs w:val="24"/>
          <w:lang w:val="en-US" w:eastAsia="zh-Hans"/>
        </w:rPr>
        <w:t>团队搭建</w:t>
      </w:r>
      <w:r>
        <w:rPr>
          <w:rFonts w:hint="default" w:ascii="FangSong" w:hAnsi="FangSong" w:eastAsia="FangSong"/>
          <w:kern w:val="0"/>
          <w:sz w:val="24"/>
          <w:szCs w:val="24"/>
          <w:lang w:eastAsia="zh-Hans"/>
        </w:rPr>
        <w:t>、</w:t>
      </w:r>
      <w:r>
        <w:rPr>
          <w:rFonts w:hint="eastAsia" w:ascii="FangSong" w:hAnsi="FangSong" w:eastAsia="FangSong"/>
          <w:kern w:val="0"/>
          <w:sz w:val="24"/>
          <w:szCs w:val="24"/>
          <w:lang w:val="en-US" w:eastAsia="zh-Hans"/>
        </w:rPr>
        <w:t>营销方法等</w:t>
      </w:r>
      <w:r>
        <w:rPr>
          <w:rFonts w:hint="default" w:ascii="FangSong" w:hAnsi="FangSong" w:eastAsia="FangSong"/>
          <w:kern w:val="0"/>
          <w:sz w:val="24"/>
          <w:szCs w:val="24"/>
          <w:lang w:eastAsia="zh-Hans"/>
        </w:rPr>
        <w:t>，</w:t>
      </w:r>
      <w:r>
        <w:rPr>
          <w:rFonts w:hint="eastAsia" w:ascii="FangSong" w:hAnsi="FangSong" w:eastAsia="FangSong"/>
          <w:kern w:val="0"/>
          <w:sz w:val="24"/>
          <w:szCs w:val="24"/>
          <w:lang w:val="en-US" w:eastAsia="zh-Hans"/>
        </w:rPr>
        <w:t>为读者在创业</w:t>
      </w:r>
      <w:r>
        <w:rPr>
          <w:rFonts w:hint="default" w:ascii="FangSong" w:hAnsi="FangSong" w:eastAsia="FangSong"/>
          <w:kern w:val="0"/>
          <w:sz w:val="24"/>
          <w:szCs w:val="24"/>
          <w:lang w:eastAsia="zh-Hans"/>
        </w:rPr>
        <w:t>、</w:t>
      </w:r>
      <w:r>
        <w:rPr>
          <w:rFonts w:hint="eastAsia" w:ascii="FangSong" w:hAnsi="FangSong" w:eastAsia="FangSong"/>
          <w:kern w:val="0"/>
          <w:sz w:val="24"/>
          <w:szCs w:val="24"/>
          <w:lang w:val="en-US" w:eastAsia="zh-Hans"/>
        </w:rPr>
        <w:t>就业过程中</w:t>
      </w:r>
      <w:r>
        <w:rPr>
          <w:rFonts w:hint="default" w:ascii="FangSong" w:hAnsi="FangSong" w:eastAsia="FangSong"/>
          <w:kern w:val="0"/>
          <w:sz w:val="24"/>
          <w:szCs w:val="24"/>
          <w:lang w:eastAsia="zh-Hans"/>
        </w:rPr>
        <w:t>，</w:t>
      </w:r>
      <w:r>
        <w:rPr>
          <w:rFonts w:hint="eastAsia" w:ascii="FangSong" w:hAnsi="FangSong" w:eastAsia="FangSong"/>
          <w:kern w:val="0"/>
          <w:sz w:val="24"/>
          <w:szCs w:val="24"/>
          <w:lang w:val="en-US" w:eastAsia="zh-Hans"/>
        </w:rPr>
        <w:t>提供趋势性内容支持与有效参考</w:t>
      </w:r>
      <w:r>
        <w:rPr>
          <w:rFonts w:hint="default" w:ascii="FangSong" w:hAnsi="FangSong" w:eastAsia="FangSong"/>
          <w:kern w:val="0"/>
          <w:sz w:val="24"/>
          <w:szCs w:val="24"/>
          <w:lang w:eastAsia="zh-Hans"/>
        </w:rPr>
        <w:t>。</w:t>
      </w:r>
    </w:p>
    <w:p>
      <w:pPr>
        <w:spacing w:line="276" w:lineRule="auto"/>
        <w:jc w:val="center"/>
        <w:rPr>
          <w:rFonts w:hint="eastAsia" w:ascii="FangSong" w:hAnsi="FangSong" w:eastAsia="FangSong"/>
          <w:kern w:val="0"/>
          <w:sz w:val="21"/>
          <w:szCs w:val="21"/>
        </w:rPr>
      </w:pPr>
      <w:r>
        <w:rPr>
          <w:rFonts w:hint="eastAsia" w:ascii="FangSong" w:hAnsi="FangSong" w:eastAsia="FangSong"/>
          <w:kern w:val="0"/>
          <w:sz w:val="21"/>
          <w:szCs w:val="21"/>
        </w:rPr>
        <w:drawing>
          <wp:inline distT="0" distB="0" distL="0" distR="0">
            <wp:extent cx="5108575" cy="3147695"/>
            <wp:effectExtent l="0" t="0" r="22225" b="1905"/>
            <wp:docPr id="12" name="图片 12" descr="../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../3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8575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hint="eastAsia" w:ascii="FangSong" w:hAnsi="FangSong" w:eastAsia="FangSong"/>
          <w:kern w:val="0"/>
          <w:sz w:val="21"/>
          <w:szCs w:val="21"/>
        </w:rPr>
      </w:pPr>
      <w:r>
        <w:rPr>
          <w:rFonts w:hint="eastAsia" w:ascii="FangSong" w:hAnsi="FangSong" w:eastAsia="FangSong"/>
          <w:kern w:val="0"/>
          <w:sz w:val="21"/>
          <w:szCs w:val="21"/>
        </w:rPr>
        <w:t>（品牌板块内容实例）</w:t>
      </w:r>
    </w:p>
    <w:p>
      <w:pPr>
        <w:spacing w:line="276" w:lineRule="auto"/>
        <w:jc w:val="center"/>
        <w:rPr>
          <w:rFonts w:hint="eastAsia" w:ascii="FangSong" w:hAnsi="FangSong" w:eastAsia="FangSong"/>
          <w:kern w:val="0"/>
          <w:sz w:val="21"/>
          <w:szCs w:val="21"/>
        </w:rPr>
      </w:pPr>
    </w:p>
    <w:p>
      <w:pPr>
        <w:pStyle w:val="20"/>
        <w:numPr>
          <w:ilvl w:val="0"/>
          <w:numId w:val="1"/>
        </w:numPr>
        <w:spacing w:line="276" w:lineRule="auto"/>
        <w:ind w:firstLineChars="0"/>
        <w:rPr>
          <w:rFonts w:ascii="FangSong" w:hAnsi="FangSong" w:eastAsia="FangSong"/>
          <w:kern w:val="0"/>
          <w:sz w:val="28"/>
          <w:szCs w:val="28"/>
        </w:rPr>
      </w:pPr>
      <w:r>
        <w:rPr>
          <w:rFonts w:hint="eastAsia" w:ascii="FangSong" w:hAnsi="FangSong" w:eastAsia="FangSong"/>
          <w:b/>
          <w:kern w:val="0"/>
          <w:sz w:val="28"/>
          <w:szCs w:val="28"/>
        </w:rPr>
        <w:t>产品</w:t>
      </w:r>
      <w:r>
        <w:rPr>
          <w:rFonts w:hint="eastAsia" w:ascii="FangSong" w:hAnsi="FangSong" w:eastAsia="FangSong"/>
          <w:b/>
          <w:kern w:val="0"/>
          <w:sz w:val="28"/>
          <w:szCs w:val="28"/>
          <w:lang w:val="en-US" w:eastAsia="zh-Hans"/>
        </w:rPr>
        <w:t>创新</w:t>
      </w:r>
      <w:r>
        <w:rPr>
          <w:rFonts w:hint="eastAsia" w:ascii="FangSong" w:hAnsi="FangSong" w:eastAsia="FangSong"/>
          <w:b/>
          <w:kern w:val="0"/>
          <w:sz w:val="28"/>
          <w:szCs w:val="28"/>
        </w:rPr>
        <w:t>资源</w:t>
      </w:r>
    </w:p>
    <w:p>
      <w:pPr>
        <w:spacing w:line="276" w:lineRule="auto"/>
        <w:rPr>
          <w:rFonts w:ascii="FangSong" w:hAnsi="FangSong" w:eastAsia="FangSong"/>
          <w:kern w:val="0"/>
          <w:sz w:val="28"/>
          <w:szCs w:val="28"/>
        </w:rPr>
      </w:pPr>
      <w:r>
        <w:rPr>
          <w:rFonts w:hint="eastAsia" w:ascii="FangSong" w:hAnsi="FangSong" w:eastAsia="FangSong"/>
          <w:kern w:val="0"/>
          <w:sz w:val="24"/>
          <w:szCs w:val="24"/>
        </w:rPr>
        <w:t>基于大数据后台，产品板块每天更新全球最新的智能产品、3C、家电、宠物、家居、交通工具等领域的最新设计案例、创新趋势、新兴品牌与设计师，为用户在设计作业与项目实践中提供前沿信息与素材</w:t>
      </w:r>
      <w:r>
        <w:rPr>
          <w:rFonts w:hint="eastAsia" w:ascii="FangSong" w:hAnsi="FangSong" w:eastAsia="FangSong"/>
          <w:kern w:val="0"/>
          <w:sz w:val="28"/>
          <w:szCs w:val="28"/>
        </w:rPr>
        <w:t>。</w:t>
      </w:r>
    </w:p>
    <w:p>
      <w:pPr>
        <w:spacing w:line="276" w:lineRule="auto"/>
        <w:jc w:val="center"/>
        <w:rPr>
          <w:rFonts w:ascii="FangSong" w:hAnsi="FangSong" w:eastAsia="FangSong"/>
          <w:kern w:val="0"/>
          <w:sz w:val="28"/>
          <w:szCs w:val="28"/>
        </w:rPr>
      </w:pPr>
      <w:r>
        <w:rPr>
          <w:rFonts w:hint="eastAsia" w:ascii="FangSong" w:hAnsi="FangSong" w:eastAsia="FangSong"/>
          <w:kern w:val="0"/>
          <w:sz w:val="28"/>
          <w:szCs w:val="28"/>
        </w:rPr>
        <w:drawing>
          <wp:inline distT="0" distB="0" distL="0" distR="0">
            <wp:extent cx="5089525" cy="3132455"/>
            <wp:effectExtent l="0" t="0" r="15875" b="17145"/>
            <wp:docPr id="13" name="图片 13" descr="../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../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9525" cy="313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hint="eastAsia" w:ascii="FangSong" w:hAnsi="FangSong" w:eastAsia="FangSong"/>
          <w:kern w:val="0"/>
          <w:sz w:val="21"/>
          <w:szCs w:val="21"/>
        </w:rPr>
      </w:pPr>
      <w:r>
        <w:rPr>
          <w:rFonts w:hint="eastAsia" w:ascii="FangSong" w:hAnsi="FangSong" w:eastAsia="FangSong"/>
          <w:kern w:val="0"/>
          <w:sz w:val="21"/>
          <w:szCs w:val="21"/>
        </w:rPr>
        <w:t>（品牌板块内容实例）</w:t>
      </w:r>
    </w:p>
    <w:p>
      <w:pPr>
        <w:spacing w:line="276" w:lineRule="auto"/>
        <w:jc w:val="both"/>
        <w:rPr>
          <w:rFonts w:hint="eastAsia" w:ascii="FangSong" w:hAnsi="FangSong" w:eastAsia="FangSong"/>
          <w:kern w:val="0"/>
          <w:sz w:val="28"/>
          <w:szCs w:val="28"/>
        </w:rPr>
      </w:pPr>
    </w:p>
    <w:p>
      <w:pPr>
        <w:pStyle w:val="20"/>
        <w:numPr>
          <w:ilvl w:val="0"/>
          <w:numId w:val="2"/>
        </w:numPr>
        <w:spacing w:line="276" w:lineRule="auto"/>
        <w:ind w:firstLineChars="0"/>
        <w:rPr>
          <w:rFonts w:ascii="FangSong" w:hAnsi="FangSong" w:eastAsia="FangSong"/>
          <w:b/>
          <w:kern w:val="0"/>
          <w:sz w:val="28"/>
          <w:szCs w:val="28"/>
        </w:rPr>
      </w:pPr>
      <w:r>
        <w:rPr>
          <w:rFonts w:hint="eastAsia" w:ascii="FangSong" w:hAnsi="FangSong" w:eastAsia="FangSong"/>
          <w:b/>
          <w:kern w:val="0"/>
          <w:sz w:val="28"/>
          <w:szCs w:val="28"/>
        </w:rPr>
        <w:t>时尚</w:t>
      </w:r>
      <w:r>
        <w:rPr>
          <w:rFonts w:hint="eastAsia" w:ascii="FangSong" w:hAnsi="FangSong" w:eastAsia="FangSong"/>
          <w:b/>
          <w:kern w:val="0"/>
          <w:sz w:val="28"/>
          <w:szCs w:val="28"/>
          <w:lang w:val="en-US" w:eastAsia="zh-Hans"/>
        </w:rPr>
        <w:t>设计</w:t>
      </w:r>
      <w:r>
        <w:rPr>
          <w:rFonts w:hint="eastAsia" w:ascii="FangSong" w:hAnsi="FangSong" w:eastAsia="FangSong"/>
          <w:b/>
          <w:kern w:val="0"/>
          <w:sz w:val="28"/>
          <w:szCs w:val="28"/>
        </w:rPr>
        <w:t>资源</w:t>
      </w:r>
    </w:p>
    <w:p>
      <w:pPr>
        <w:spacing w:line="276" w:lineRule="auto"/>
        <w:rPr>
          <w:rFonts w:ascii="FangSong" w:hAnsi="FangSong" w:eastAsia="FangSong"/>
          <w:kern w:val="0"/>
          <w:sz w:val="28"/>
          <w:szCs w:val="28"/>
        </w:rPr>
      </w:pPr>
      <w:r>
        <w:rPr>
          <w:rFonts w:hint="eastAsia" w:ascii="FangSong" w:hAnsi="FangSong" w:eastAsia="FangSong"/>
          <w:kern w:val="0"/>
          <w:sz w:val="24"/>
          <w:szCs w:val="24"/>
        </w:rPr>
        <w:t>基于大数据分析，每日更新案例与趋势报告，为服装设计专业用户的日常学习与项目提供所需的前沿理念、材料、科技、图案、色彩、造型、秀场、展会等</w:t>
      </w:r>
      <w:r>
        <w:rPr>
          <w:rFonts w:hint="eastAsia" w:ascii="仿宋" w:hAnsi="仿宋" w:eastAsia="仿宋"/>
          <w:sz w:val="24"/>
          <w:szCs w:val="24"/>
        </w:rPr>
        <w:t>极具价值的前瞻性内容。</w:t>
      </w:r>
    </w:p>
    <w:p>
      <w:pPr>
        <w:spacing w:line="276" w:lineRule="auto"/>
        <w:jc w:val="center"/>
        <w:rPr>
          <w:rFonts w:ascii="FangSong" w:hAnsi="FangSong" w:eastAsia="FangSong"/>
          <w:kern w:val="0"/>
          <w:sz w:val="28"/>
          <w:szCs w:val="28"/>
        </w:rPr>
      </w:pPr>
      <w:r>
        <w:rPr>
          <w:rFonts w:hint="eastAsia" w:ascii="FangSong" w:hAnsi="FangSong" w:eastAsia="FangSong"/>
          <w:kern w:val="0"/>
          <w:sz w:val="28"/>
          <w:szCs w:val="28"/>
        </w:rPr>
        <w:drawing>
          <wp:inline distT="0" distB="0" distL="0" distR="0">
            <wp:extent cx="4925060" cy="3049270"/>
            <wp:effectExtent l="0" t="0" r="2540" b="24130"/>
            <wp:docPr id="11" name="图片 11" descr="../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../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5060" cy="304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hint="eastAsia" w:ascii="FangSong" w:hAnsi="FangSong" w:eastAsia="FangSong"/>
          <w:kern w:val="0"/>
          <w:sz w:val="28"/>
          <w:szCs w:val="28"/>
        </w:rPr>
      </w:pPr>
      <w:r>
        <w:rPr>
          <w:rFonts w:hint="eastAsia" w:ascii="FangSong" w:hAnsi="FangSong" w:eastAsia="FangSong"/>
          <w:kern w:val="0"/>
          <w:sz w:val="21"/>
          <w:szCs w:val="21"/>
        </w:rPr>
        <w:t>（时尚板块内容实例）</w:t>
      </w:r>
    </w:p>
    <w:p>
      <w:pPr>
        <w:spacing w:line="276" w:lineRule="auto"/>
        <w:jc w:val="center"/>
        <w:rPr>
          <w:rFonts w:hint="eastAsia" w:ascii="FangSong" w:hAnsi="FangSong" w:eastAsia="FangSong"/>
          <w:kern w:val="0"/>
          <w:sz w:val="28"/>
          <w:szCs w:val="28"/>
        </w:rPr>
      </w:pPr>
    </w:p>
    <w:p>
      <w:pPr>
        <w:pStyle w:val="20"/>
        <w:numPr>
          <w:ilvl w:val="0"/>
          <w:numId w:val="1"/>
        </w:numPr>
        <w:ind w:firstLineChars="0"/>
        <w:rPr>
          <w:rFonts w:ascii="FangSong" w:hAnsi="FangSong" w:eastAsia="FangSong"/>
          <w:b/>
          <w:sz w:val="28"/>
          <w:szCs w:val="28"/>
        </w:rPr>
      </w:pPr>
      <w:r>
        <w:rPr>
          <w:rFonts w:hint="eastAsia" w:ascii="FangSong" w:hAnsi="FangSong" w:eastAsia="FangSong"/>
          <w:b/>
          <w:sz w:val="28"/>
          <w:szCs w:val="28"/>
        </w:rPr>
        <w:t>消费者板块</w:t>
      </w:r>
    </w:p>
    <w:p>
      <w:pPr>
        <w:spacing w:line="276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聚焦设计创新背后的推动力-消费变化趋势，为设计策略、方案制定、项目规划提供前瞻性的用户分析。</w:t>
      </w:r>
    </w:p>
    <w:p>
      <w:pPr>
        <w:spacing w:line="276" w:lineRule="auto"/>
        <w:jc w:val="center"/>
        <w:rPr>
          <w:rFonts w:ascii="FangSong" w:hAnsi="FangSong" w:eastAsia="FangSong"/>
          <w:kern w:val="0"/>
          <w:sz w:val="28"/>
          <w:szCs w:val="28"/>
        </w:rPr>
      </w:pPr>
      <w:r>
        <w:rPr>
          <w:rFonts w:hint="eastAsia" w:ascii="FangSong" w:hAnsi="FangSong" w:eastAsia="FangSong"/>
          <w:kern w:val="0"/>
          <w:sz w:val="28"/>
          <w:szCs w:val="28"/>
        </w:rPr>
        <w:drawing>
          <wp:inline distT="0" distB="0" distL="0" distR="0">
            <wp:extent cx="5265420" cy="2964180"/>
            <wp:effectExtent l="0" t="0" r="0" b="7620"/>
            <wp:docPr id="32" name="图片 32" descr="../数字资源推介11/数字资源推介11.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../数字资源推介11/数字资源推介11.00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8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ascii="FangSong" w:hAnsi="FangSong" w:eastAsia="FangSong"/>
          <w:kern w:val="0"/>
          <w:sz w:val="21"/>
          <w:szCs w:val="21"/>
        </w:rPr>
      </w:pPr>
      <w:r>
        <w:rPr>
          <w:rFonts w:hint="eastAsia" w:ascii="FangSong" w:hAnsi="FangSong" w:eastAsia="FangSong"/>
          <w:kern w:val="0"/>
          <w:sz w:val="21"/>
          <w:szCs w:val="21"/>
        </w:rPr>
        <w:t>（消费者板块内容实例）</w:t>
      </w:r>
    </w:p>
    <w:p>
      <w:pPr>
        <w:spacing w:line="276" w:lineRule="auto"/>
        <w:jc w:val="both"/>
        <w:rPr>
          <w:rFonts w:ascii="FangSong" w:hAnsi="FangSong" w:eastAsia="FangSong"/>
          <w:kern w:val="0"/>
          <w:sz w:val="28"/>
          <w:szCs w:val="28"/>
        </w:rPr>
      </w:pPr>
    </w:p>
    <w:p>
      <w:pPr>
        <w:pStyle w:val="4"/>
        <w:rPr>
          <w:sz w:val="28"/>
          <w:szCs w:val="28"/>
        </w:rPr>
      </w:pPr>
      <w:bookmarkStart w:id="4" w:name="_Toc67556409"/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>就业创业规划</w:t>
      </w:r>
      <w:bookmarkEnd w:id="4"/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4"/>
          <w:szCs w:val="24"/>
        </w:rPr>
        <w:t>各个版块不断更新的全球新兴品牌与创业案例，为用户提供了大量的就业方向与创业赛道。通过案例数据，用户可快速锁定行业，并获取产品策略、团队搭建、营销布局等创业方法。另外，《数据公园》定期举办创业就业分享，用户可在相应社区进行交流，获取相关资讯。</w:t>
      </w:r>
      <w:r>
        <w:rPr>
          <w:rFonts w:hint="eastAsia" w:ascii="仿宋" w:hAnsi="仿宋" w:eastAsia="仿宋"/>
          <w:sz w:val="28"/>
          <w:szCs w:val="28"/>
        </w:rPr>
        <w:drawing>
          <wp:inline distT="0" distB="0" distL="0" distR="0">
            <wp:extent cx="5418455" cy="3048000"/>
            <wp:effectExtent l="0" t="0" r="17145" b="0"/>
            <wp:docPr id="25" name="图片 25" descr="../数字资源推介5/数字资源推介5.0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../数字资源推介5/数字资源推介5.00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845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sz w:val="28"/>
          <w:szCs w:val="28"/>
        </w:rPr>
      </w:pPr>
      <w:bookmarkStart w:id="5" w:name="_Toc67556410"/>
      <w:r>
        <w:rPr>
          <w:rFonts w:hint="eastAsia"/>
          <w:sz w:val="28"/>
          <w:szCs w:val="28"/>
        </w:rPr>
        <w:t>3.课程研发与案例教学</w:t>
      </w:r>
      <w:bookmarkEnd w:id="5"/>
    </w:p>
    <w:p>
      <w:pPr>
        <w:spacing w:line="276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库内为各类设计课程提供了趋势性的教学内容与案例分析，帮助老师提高备课效率，也可作为学生课后深度学习与研究的知识平台。</w:t>
      </w:r>
    </w:p>
    <w:p>
      <w:pPr>
        <w:spacing w:line="360" w:lineRule="auto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4846955" cy="2792095"/>
            <wp:effectExtent l="0" t="0" r="4445" b="1905"/>
            <wp:docPr id="27" name="图片 27" descr="../数字资源推介5/数字资源推介5.0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../数字资源推介5/数字资源推介5.008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39"/>
                    <a:stretch>
                      <a:fillRect/>
                    </a:stretch>
                  </pic:blipFill>
                  <pic:spPr>
                    <a:xfrm>
                      <a:off x="0" y="0"/>
                      <a:ext cx="4846955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sz w:val="28"/>
          <w:szCs w:val="28"/>
        </w:rPr>
      </w:pPr>
      <w:bookmarkStart w:id="6" w:name="_Toc67556411"/>
      <w:r>
        <w:rPr>
          <w:rFonts w:hint="eastAsia"/>
          <w:sz w:val="28"/>
          <w:szCs w:val="28"/>
        </w:rPr>
        <w:t>4.全球创新领域学者、企业家、知名设计师的视频资源</w:t>
      </w:r>
      <w:bookmarkEnd w:id="6"/>
    </w:p>
    <w:p>
      <w:pPr>
        <w:spacing w:line="276" w:lineRule="auto"/>
        <w:rPr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库内定期更新专家学者、企业创始人、知名设计师的分享视频。首页可观看五角创始人Phil Cleaver、同济大学副校长娄咏琪、华为创新总裁梁俊、知名广告人熊超（奥美创意群总监）在内的百余大咖演讲视频。为用户了解全球科研成果、创新方向提供有力支持。</w:t>
      </w:r>
    </w:p>
    <w:p>
      <w:pPr>
        <w:widowControl/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86375" cy="3391535"/>
            <wp:effectExtent l="0" t="0" r="22225" b="12065"/>
            <wp:docPr id="28" name="图片 28" descr="../数字资源推介5/数字资源推介5.0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../数字资源推介5/数字资源推介5.007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6" b="1514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39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7" w:name="_Toc67556412"/>
      <w:r>
        <w:rPr>
          <w:rFonts w:ascii="仿宋" w:hAnsi="仿宋" w:eastAsia="仿宋"/>
          <w:sz w:val="28"/>
          <w:szCs w:val="28"/>
        </w:rPr>
        <w:t>、</w:t>
      </w:r>
    </w:p>
    <w:p>
      <w:pPr>
        <w:widowControl/>
        <w:jc w:val="center"/>
        <w:rPr>
          <w:rFonts w:hint="eastAsia" w:ascii="仿宋" w:hAnsi="仿宋" w:eastAsia="仿宋"/>
          <w:sz w:val="28"/>
          <w:szCs w:val="28"/>
        </w:rPr>
      </w:pPr>
    </w:p>
    <w:p>
      <w:pPr>
        <w:pStyle w:val="2"/>
        <w:rPr>
          <w:rFonts w:cstheme="minorBidi"/>
          <w:sz w:val="28"/>
          <w:szCs w:val="28"/>
        </w:rPr>
      </w:pPr>
      <w:r>
        <w:rPr>
          <w:rFonts w:hint="eastAsia"/>
          <w:sz w:val="28"/>
          <w:szCs w:val="28"/>
        </w:rPr>
        <w:t>三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>产品功能</w:t>
      </w:r>
      <w:bookmarkEnd w:id="7"/>
      <w:r>
        <w:rPr>
          <w:rFonts w:hint="eastAsia"/>
          <w:sz w:val="28"/>
          <w:szCs w:val="28"/>
          <w:lang w:val="en-US" w:eastAsia="zh-Hans"/>
        </w:rPr>
        <w:t>与使用</w:t>
      </w:r>
    </w:p>
    <w:p>
      <w:pPr>
        <w:pStyle w:val="4"/>
        <w:rPr>
          <w:sz w:val="28"/>
          <w:szCs w:val="28"/>
        </w:rPr>
      </w:pPr>
      <w:bookmarkStart w:id="8" w:name="_Toc67556413"/>
      <w:r>
        <w:rPr>
          <w:sz w:val="28"/>
          <w:szCs w:val="28"/>
        </w:rPr>
        <w:t>1.</w:t>
      </w:r>
      <w:r>
        <w:rPr>
          <w:rFonts w:hint="eastAsia"/>
          <w:sz w:val="28"/>
          <w:szCs w:val="28"/>
        </w:rPr>
        <w:t>分类浏览</w:t>
      </w:r>
      <w:bookmarkEnd w:id="8"/>
    </w:p>
    <w:p>
      <w:pPr>
        <w:spacing w:line="276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数据库顶部和左侧有各领域的细分标签，可根据需求进行分类浏览。</w:t>
      </w:r>
    </w:p>
    <w:p>
      <w:pPr>
        <w:spacing w:line="360" w:lineRule="auto"/>
        <w:jc w:val="center"/>
        <w:rPr>
          <w:rFonts w:ascii="仿宋" w:hAnsi="仿宋" w:eastAsia="仿宋"/>
          <w:sz w:val="21"/>
          <w:szCs w:val="21"/>
        </w:rPr>
      </w:pPr>
      <w:r>
        <w:rPr>
          <w:rFonts w:hint="eastAsia" w:ascii="仿宋" w:hAnsi="仿宋" w:eastAsia="仿宋"/>
          <w:sz w:val="21"/>
          <w:szCs w:val="21"/>
        </w:rPr>
        <w:drawing>
          <wp:inline distT="0" distB="0" distL="0" distR="0">
            <wp:extent cx="5024120" cy="2604135"/>
            <wp:effectExtent l="0" t="0" r="5080" b="12065"/>
            <wp:docPr id="29" name="图片 29" descr="../数字资源推介5/数字资源推介5.0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../数字资源推介5/数字资源推介5.005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4120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/>
          <w:sz w:val="21"/>
          <w:szCs w:val="21"/>
        </w:rPr>
      </w:pPr>
    </w:p>
    <w:p>
      <w:pPr>
        <w:pStyle w:val="4"/>
      </w:pPr>
      <w:bookmarkStart w:id="9" w:name="_Toc67556414"/>
      <w:r>
        <w:t>2.</w:t>
      </w:r>
      <w:r>
        <w:rPr>
          <w:rFonts w:hint="eastAsia"/>
        </w:rPr>
        <w:t>报告阅读</w:t>
      </w:r>
      <w:bookmarkEnd w:id="9"/>
    </w:p>
    <w:p>
      <w:pPr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在报告的阅读页面下，可完成内容快速切换、延伸阅读、相关文献阅读、下载、收藏等功能。</w:t>
      </w:r>
    </w:p>
    <w:p>
      <w:pPr>
        <w:rPr>
          <w:rFonts w:hint="eastAsia" w:ascii="仿宋" w:hAnsi="仿宋" w:eastAsia="仿宋"/>
          <w:sz w:val="24"/>
          <w:szCs w:val="24"/>
        </w:rPr>
      </w:pPr>
      <w:bookmarkStart w:id="13" w:name="_GoBack"/>
      <w:bookmarkEnd w:id="13"/>
    </w:p>
    <w:p>
      <w:pPr>
        <w:spacing w:line="360" w:lineRule="auto"/>
        <w:jc w:val="center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drawing>
          <wp:inline distT="0" distB="0" distL="0" distR="0">
            <wp:extent cx="5107940" cy="2873375"/>
            <wp:effectExtent l="0" t="0" r="22860" b="22225"/>
            <wp:docPr id="31" name="图片 31" descr="../数字资源推介/数字资源推介.0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../数字资源推介/数字资源推介.006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7940" cy="287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sz w:val="28"/>
          <w:szCs w:val="28"/>
        </w:rPr>
      </w:pPr>
      <w:bookmarkStart w:id="10" w:name="_Toc67556415"/>
      <w:r>
        <w:rPr>
          <w:rFonts w:hint="eastAsia"/>
          <w:sz w:val="28"/>
          <w:szCs w:val="28"/>
        </w:rPr>
        <w:t>3.数据图表</w:t>
      </w:r>
      <w:bookmarkEnd w:id="10"/>
    </w:p>
    <w:p>
      <w:pPr>
        <w:spacing w:line="360" w:lineRule="auto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4"/>
          <w:szCs w:val="24"/>
        </w:rPr>
        <w:t>通过首页“行业关注”可洞察全网的焦点内容，“热门推荐”可以了解全站的使用数据。</w:t>
      </w:r>
    </w:p>
    <w:p>
      <w:pPr>
        <w:spacing w:line="360" w:lineRule="auto"/>
        <w:jc w:val="center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drawing>
          <wp:inline distT="0" distB="0" distL="0" distR="0">
            <wp:extent cx="5271770" cy="1870075"/>
            <wp:effectExtent l="0" t="0" r="11430" b="9525"/>
            <wp:docPr id="2" name="图片 2" descr="../../../../../../Desktop/aa/aa.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../../../../../../Desktop/aa/aa.00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7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sz w:val="28"/>
          <w:szCs w:val="28"/>
        </w:rPr>
      </w:pPr>
      <w:bookmarkStart w:id="11" w:name="_Toc66281623"/>
      <w:bookmarkStart w:id="12" w:name="_Toc67556416"/>
      <w:r>
        <w:rPr>
          <w:rFonts w:hint="eastAsia"/>
          <w:sz w:val="28"/>
          <w:szCs w:val="28"/>
        </w:rPr>
        <w:t>四.访问方式</w:t>
      </w:r>
      <w:bookmarkEnd w:id="11"/>
      <w:bookmarkEnd w:id="12"/>
    </w:p>
    <w:p>
      <w:pPr>
        <w:pStyle w:val="22"/>
        <w:rPr>
          <w:rFonts w:ascii="仿宋" w:hAnsi="仿宋" w:eastAsia="仿宋" w:cstheme="minorBidi"/>
          <w:b/>
          <w:kern w:val="2"/>
          <w:sz w:val="28"/>
          <w:szCs w:val="28"/>
        </w:rPr>
      </w:pPr>
      <w:r>
        <w:rPr>
          <w:rFonts w:ascii="仿宋" w:hAnsi="仿宋" w:eastAsia="仿宋" w:cstheme="minorBidi"/>
          <w:b/>
          <w:kern w:val="2"/>
          <w:sz w:val="28"/>
          <w:szCs w:val="28"/>
        </w:rPr>
        <w:t>校园WIFI/图书馆内使用：</w:t>
      </w:r>
    </w:p>
    <w:p>
      <w:pPr>
        <w:pStyle w:val="20"/>
        <w:numPr>
          <w:ilvl w:val="0"/>
          <w:numId w:val="1"/>
        </w:numPr>
        <w:spacing w:line="520" w:lineRule="exact"/>
        <w:ind w:firstLineChars="0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直接登陆www.datapark.cn即可浏览数据库。</w:t>
      </w:r>
    </w:p>
    <w:p>
      <w:pPr>
        <w:pStyle w:val="20"/>
        <w:numPr>
          <w:ilvl w:val="0"/>
          <w:numId w:val="1"/>
        </w:numPr>
        <w:spacing w:line="520" w:lineRule="exact"/>
        <w:ind w:firstLineChars="0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如果需下载、收藏等，可以注册个人账号登录使用。</w:t>
      </w:r>
      <w:r>
        <w:rPr>
          <w:rFonts w:ascii="仿宋" w:hAnsi="仿宋" w:eastAsia="仿宋"/>
          <w:sz w:val="24"/>
          <w:szCs w:val="24"/>
        </w:rPr>
        <w:t xml:space="preserve"> </w:t>
      </w:r>
    </w:p>
    <w:p>
      <w:pPr>
        <w:pStyle w:val="20"/>
        <w:numPr>
          <w:ilvl w:val="0"/>
          <w:numId w:val="1"/>
        </w:numPr>
        <w:spacing w:line="520" w:lineRule="exact"/>
        <w:ind w:firstLineChars="0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手机端可搜所“数据公园”小程序进行使用。</w:t>
      </w:r>
    </w:p>
    <w:p>
      <w:pPr>
        <w:widowControl/>
        <w:rPr>
          <w:rFonts w:ascii="仿宋" w:hAnsi="仿宋" w:eastAsia="仿宋"/>
          <w:sz w:val="24"/>
          <w:szCs w:val="24"/>
        </w:rPr>
      </w:pPr>
    </w:p>
    <w:p>
      <w:pPr>
        <w:widowControl/>
        <w:rPr>
          <w:rFonts w:ascii="仿宋" w:hAnsi="仿宋" w:eastAsia="仿宋"/>
          <w:sz w:val="24"/>
          <w:szCs w:val="24"/>
        </w:rPr>
      </w:pPr>
    </w:p>
    <w:p>
      <w:pPr>
        <w:widowControl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  <w:lang w:val="en-US" w:eastAsia="zh-Hans"/>
        </w:rPr>
        <w:t>问题反馈</w:t>
      </w:r>
      <w:r>
        <w:rPr>
          <w:rFonts w:ascii="仿宋" w:hAnsi="仿宋" w:eastAsia="仿宋"/>
          <w:sz w:val="24"/>
          <w:szCs w:val="24"/>
        </w:rPr>
        <w:t>：</w:t>
      </w:r>
    </w:p>
    <w:p>
      <w:pPr>
        <w:widowControl/>
        <w:jc w:val="left"/>
        <w:rPr>
          <w:rFonts w:ascii="仿宋" w:hAnsi="仿宋" w:eastAsia="仿宋" w:cstheme="minorBidi"/>
          <w:kern w:val="2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010-84599736</w:t>
      </w:r>
      <w:r>
        <w:rPr>
          <w:rFonts w:hint="eastAsia" w:ascii="仿宋" w:hAnsi="仿宋" w:eastAsia="仿宋"/>
          <w:sz w:val="24"/>
          <w:szCs w:val="24"/>
          <w:lang w:val="en-US" w:eastAsia="zh-Hans"/>
        </w:rPr>
        <w:t>或</w:t>
      </w:r>
      <w:r>
        <w:rPr>
          <w:rFonts w:hint="eastAsia" w:ascii="仿宋" w:hAnsi="仿宋" w:eastAsia="仿宋" w:cstheme="minorBidi"/>
          <w:kern w:val="2"/>
          <w:sz w:val="24"/>
          <w:szCs w:val="24"/>
        </w:rPr>
        <w:t>DP小助手</w:t>
      </w:r>
      <w:r>
        <w:rPr>
          <w:rFonts w:ascii="仿宋" w:hAnsi="仿宋" w:eastAsia="仿宋" w:cstheme="minorBidi"/>
          <w:kern w:val="2"/>
          <w:sz w:val="24"/>
          <w:szCs w:val="24"/>
        </w:rPr>
        <w:t>18514237089</w:t>
      </w:r>
      <w:r>
        <w:rPr>
          <w:rFonts w:hint="eastAsia" w:ascii="仿宋" w:hAnsi="仿宋" w:eastAsia="仿宋" w:cstheme="minorBidi"/>
          <w:kern w:val="2"/>
          <w:sz w:val="24"/>
          <w:szCs w:val="24"/>
        </w:rPr>
        <w:t>（微信</w:t>
      </w:r>
      <w:r>
        <w:rPr>
          <w:rFonts w:hint="eastAsia" w:ascii="仿宋" w:hAnsi="仿宋" w:eastAsia="仿宋" w:cstheme="minorBidi"/>
          <w:kern w:val="2"/>
          <w:sz w:val="24"/>
          <w:szCs w:val="24"/>
          <w:lang w:val="en-US" w:eastAsia="zh-Hans"/>
        </w:rPr>
        <w:t>同手机</w:t>
      </w:r>
      <w:r>
        <w:rPr>
          <w:rFonts w:hint="eastAsia" w:ascii="仿宋" w:hAnsi="仿宋" w:eastAsia="仿宋" w:cstheme="minorBidi"/>
          <w:kern w:val="2"/>
          <w:sz w:val="24"/>
          <w:szCs w:val="24"/>
        </w:rPr>
        <w:t>）</w:t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sz w:val="28"/>
          <w:szCs w:val="28"/>
        </w:rPr>
      </w:pPr>
    </w:p>
    <w:sectPr>
      <w:pgSz w:w="11900" w:h="16840"/>
      <w:pgMar w:top="1440" w:right="1080" w:bottom="1440" w:left="1080" w:header="851" w:footer="992" w:gutter="0"/>
      <w:cols w:space="425" w:num="1"/>
      <w:docGrid w:type="lines" w:linePitch="4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DengXian">
    <w:altName w:val="汉仪中等线KW"/>
    <w:panose1 w:val="02010600030101010101"/>
    <w:charset w:val="86"/>
    <w:family w:val="script"/>
    <w:pitch w:val="default"/>
    <w:sig w:usb0="00000000" w:usb1="00000000" w:usb2="00000016" w:usb3="00000000" w:csb0="0004000F" w:csb1="00000000"/>
  </w:font>
  <w:font w:name="仿宋">
    <w:altName w:val="方正仿宋_GBK"/>
    <w:panose1 w:val="00000000000000000000"/>
    <w:charset w:val="86"/>
    <w:family w:val="auto"/>
    <w:pitch w:val="default"/>
    <w:sig w:usb0="00000000" w:usb1="00000000" w:usb2="00000016" w:usb3="00000000" w:csb0="00040001" w:csb1="00000000"/>
  </w:font>
  <w:font w:name="DengXian Light">
    <w:altName w:val="汉仪中等线KW"/>
    <w:panose1 w:val="02010600030101010101"/>
    <w:charset w:val="86"/>
    <w:family w:val="script"/>
    <w:pitch w:val="default"/>
    <w:sig w:usb0="00000000" w:usb1="00000000" w:usb2="00000016" w:usb3="00000000" w:csb0="0004000F" w:csb1="00000000"/>
  </w:font>
  <w:font w:name="Lucida Grande">
    <w:panose1 w:val="020B0600040502020204"/>
    <w:charset w:val="00"/>
    <w:family w:val="swiss"/>
    <w:pitch w:val="default"/>
    <w:sig w:usb0="E1000AEF" w:usb1="5000A1FF" w:usb2="00000000" w:usb3="00000000" w:csb0="200001BF" w:csb1="4F010000"/>
  </w:font>
  <w:font w:name="PingFang SC">
    <w:panose1 w:val="020B0400000000000000"/>
    <w:charset w:val="86"/>
    <w:family w:val="swiss"/>
    <w:pitch w:val="default"/>
    <w:sig w:usb0="A00002FF" w:usb1="7ACFFDFB" w:usb2="00000017" w:usb3="00000000" w:csb0="00040001" w:csb1="00000000"/>
  </w:font>
  <w:font w:name="FangSong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DengXian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FangSong">
    <w:altName w:val="方正仿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ngXian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DengXian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  <w:font w:name="仿宋">
    <w:altName w:val="方正仿宋_GBK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05E72"/>
    <w:multiLevelType w:val="multilevel"/>
    <w:tmpl w:val="0E405E72"/>
    <w:lvl w:ilvl="0" w:tentative="0">
      <w:start w:val="1"/>
      <w:numFmt w:val="bullet"/>
      <w:lvlText w:val="•"/>
      <w:lvlJc w:val="left"/>
      <w:pPr>
        <w:ind w:left="480" w:hanging="480"/>
      </w:pPr>
      <w:rPr>
        <w:rFonts w:hint="eastAsia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abstractNum w:abstractNumId="1">
    <w:nsid w:val="563A4495"/>
    <w:multiLevelType w:val="multilevel"/>
    <w:tmpl w:val="563A4495"/>
    <w:lvl w:ilvl="0" w:tentative="0">
      <w:start w:val="1"/>
      <w:numFmt w:val="bullet"/>
      <w:lvlText w:val="•"/>
      <w:lvlJc w:val="left"/>
      <w:pPr>
        <w:ind w:left="480" w:hanging="480"/>
      </w:pPr>
      <w:rPr>
        <w:rFonts w:hint="eastAsia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bordersDoNotSurroundHeader w:val="1"/>
  <w:bordersDoNotSurroundFooter w:val="1"/>
  <w:documentProtection w:enforcement="0"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0C06"/>
    <w:rsid w:val="00016C4D"/>
    <w:rsid w:val="00040C06"/>
    <w:rsid w:val="00081383"/>
    <w:rsid w:val="000918BC"/>
    <w:rsid w:val="000943A1"/>
    <w:rsid w:val="000C665C"/>
    <w:rsid w:val="0013030E"/>
    <w:rsid w:val="00152E7A"/>
    <w:rsid w:val="001623D1"/>
    <w:rsid w:val="001A0D6C"/>
    <w:rsid w:val="00200DCE"/>
    <w:rsid w:val="00234DA8"/>
    <w:rsid w:val="002923D8"/>
    <w:rsid w:val="002955AD"/>
    <w:rsid w:val="002A26C0"/>
    <w:rsid w:val="002A5455"/>
    <w:rsid w:val="00321356"/>
    <w:rsid w:val="003B2276"/>
    <w:rsid w:val="003C531F"/>
    <w:rsid w:val="003D556B"/>
    <w:rsid w:val="003D784E"/>
    <w:rsid w:val="003F5814"/>
    <w:rsid w:val="00416EF9"/>
    <w:rsid w:val="00420605"/>
    <w:rsid w:val="00467AC7"/>
    <w:rsid w:val="004B0C0F"/>
    <w:rsid w:val="004D48EA"/>
    <w:rsid w:val="00531F65"/>
    <w:rsid w:val="005438E3"/>
    <w:rsid w:val="00556F69"/>
    <w:rsid w:val="00645674"/>
    <w:rsid w:val="006A2D80"/>
    <w:rsid w:val="006E52B8"/>
    <w:rsid w:val="00702629"/>
    <w:rsid w:val="00712F11"/>
    <w:rsid w:val="007570E7"/>
    <w:rsid w:val="00764C6F"/>
    <w:rsid w:val="00785B59"/>
    <w:rsid w:val="007A2906"/>
    <w:rsid w:val="007B02F7"/>
    <w:rsid w:val="007B196D"/>
    <w:rsid w:val="008307DE"/>
    <w:rsid w:val="00831C27"/>
    <w:rsid w:val="00836D31"/>
    <w:rsid w:val="008C3907"/>
    <w:rsid w:val="008F33E7"/>
    <w:rsid w:val="009227B1"/>
    <w:rsid w:val="00937157"/>
    <w:rsid w:val="00943CA7"/>
    <w:rsid w:val="009A1963"/>
    <w:rsid w:val="009A2C35"/>
    <w:rsid w:val="009B2A9E"/>
    <w:rsid w:val="009E0C3F"/>
    <w:rsid w:val="00A537CD"/>
    <w:rsid w:val="00A83369"/>
    <w:rsid w:val="00A83772"/>
    <w:rsid w:val="00AB2CD6"/>
    <w:rsid w:val="00AC00BB"/>
    <w:rsid w:val="00AD0A23"/>
    <w:rsid w:val="00B3656B"/>
    <w:rsid w:val="00B6323B"/>
    <w:rsid w:val="00B86C4B"/>
    <w:rsid w:val="00B928E9"/>
    <w:rsid w:val="00BA5859"/>
    <w:rsid w:val="00BB6A4F"/>
    <w:rsid w:val="00BD487C"/>
    <w:rsid w:val="00BF08B1"/>
    <w:rsid w:val="00BF20FE"/>
    <w:rsid w:val="00BF479E"/>
    <w:rsid w:val="00C235F4"/>
    <w:rsid w:val="00CC49FF"/>
    <w:rsid w:val="00CC6C4A"/>
    <w:rsid w:val="00D14C16"/>
    <w:rsid w:val="00D47B70"/>
    <w:rsid w:val="00D53C6B"/>
    <w:rsid w:val="00D61D93"/>
    <w:rsid w:val="00D71615"/>
    <w:rsid w:val="00D96967"/>
    <w:rsid w:val="00DB0751"/>
    <w:rsid w:val="00DE4198"/>
    <w:rsid w:val="00DE563F"/>
    <w:rsid w:val="00DF6C5D"/>
    <w:rsid w:val="00E16252"/>
    <w:rsid w:val="00E33199"/>
    <w:rsid w:val="00E36ABE"/>
    <w:rsid w:val="00E91E87"/>
    <w:rsid w:val="00ED1FF6"/>
    <w:rsid w:val="00ED5309"/>
    <w:rsid w:val="00EE3E21"/>
    <w:rsid w:val="00EF1F4F"/>
    <w:rsid w:val="00F14D2A"/>
    <w:rsid w:val="00F44D8C"/>
    <w:rsid w:val="00F54029"/>
    <w:rsid w:val="00FB58D2"/>
    <w:rsid w:val="00FF5271"/>
    <w:rsid w:val="217E81DA"/>
    <w:rsid w:val="35BA86E5"/>
    <w:rsid w:val="3E5A891E"/>
    <w:rsid w:val="4CFF4B20"/>
    <w:rsid w:val="766BFDEB"/>
    <w:rsid w:val="7A7D14CB"/>
    <w:rsid w:val="7BB31F3E"/>
    <w:rsid w:val="7DF13E61"/>
    <w:rsid w:val="C97A0CED"/>
    <w:rsid w:val="DF2C2A19"/>
    <w:rsid w:val="EF5E685C"/>
    <w:rsid w:val="F7DD03ED"/>
    <w:rsid w:val="FC7DBFA8"/>
    <w:rsid w:val="FDBB5316"/>
    <w:rsid w:val="FF5A2576"/>
    <w:rsid w:val="FFFF5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2767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line="578" w:lineRule="auto"/>
      <w:outlineLvl w:val="0"/>
    </w:pPr>
    <w:rPr>
      <w:rFonts w:ascii="仿宋" w:hAnsi="仿宋" w:eastAsia="仿宋" w:cs="Times New Roman"/>
      <w:b/>
      <w:kern w:val="0"/>
      <w:sz w:val="28"/>
      <w:szCs w:val="28"/>
    </w:rPr>
  </w:style>
  <w:style w:type="paragraph" w:styleId="3">
    <w:name w:val="heading 2"/>
    <w:basedOn w:val="1"/>
    <w:next w:val="1"/>
    <w:link w:val="2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9"/>
    <w:unhideWhenUsed/>
    <w:qFormat/>
    <w:uiPriority w:val="9"/>
    <w:pPr>
      <w:keepNext/>
      <w:keepLines/>
      <w:spacing w:before="20" w:after="20" w:line="416" w:lineRule="auto"/>
      <w:outlineLvl w:val="2"/>
    </w:pPr>
    <w:rPr>
      <w:rFonts w:ascii="仿宋" w:hAnsi="仿宋" w:eastAsia="仿宋"/>
      <w:b/>
      <w:sz w:val="28"/>
      <w:szCs w:val="28"/>
    </w:rPr>
  </w:style>
  <w:style w:type="character" w:default="1" w:styleId="15">
    <w:name w:val="Default Paragraph Font"/>
    <w:unhideWhenUsed/>
    <w:qFormat/>
    <w:uiPriority w:val="1"/>
  </w:style>
  <w:style w:type="table" w:default="1" w:styleId="17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7"/>
    <w:basedOn w:val="1"/>
    <w:next w:val="1"/>
    <w:unhideWhenUsed/>
    <w:qFormat/>
    <w:uiPriority w:val="39"/>
    <w:pPr>
      <w:ind w:left="1440"/>
      <w:jc w:val="left"/>
    </w:pPr>
    <w:rPr>
      <w:rFonts w:eastAsiaTheme="minorHAnsi"/>
      <w:sz w:val="18"/>
      <w:szCs w:val="18"/>
    </w:rPr>
  </w:style>
  <w:style w:type="paragraph" w:styleId="6">
    <w:name w:val="toc 5"/>
    <w:basedOn w:val="1"/>
    <w:next w:val="1"/>
    <w:unhideWhenUsed/>
    <w:qFormat/>
    <w:uiPriority w:val="39"/>
    <w:pPr>
      <w:ind w:left="960"/>
      <w:jc w:val="left"/>
    </w:pPr>
    <w:rPr>
      <w:rFonts w:eastAsiaTheme="minorHAnsi"/>
      <w:sz w:val="18"/>
      <w:szCs w:val="18"/>
    </w:rPr>
  </w:style>
  <w:style w:type="paragraph" w:styleId="7">
    <w:name w:val="toc 3"/>
    <w:basedOn w:val="1"/>
    <w:next w:val="1"/>
    <w:unhideWhenUsed/>
    <w:qFormat/>
    <w:uiPriority w:val="39"/>
    <w:pPr>
      <w:ind w:left="480"/>
      <w:jc w:val="left"/>
    </w:pPr>
    <w:rPr>
      <w:rFonts w:eastAsiaTheme="minorHAnsi"/>
      <w:i/>
      <w:iCs/>
      <w:sz w:val="22"/>
      <w:szCs w:val="22"/>
    </w:rPr>
  </w:style>
  <w:style w:type="paragraph" w:styleId="8">
    <w:name w:val="toc 8"/>
    <w:basedOn w:val="1"/>
    <w:next w:val="1"/>
    <w:unhideWhenUsed/>
    <w:qFormat/>
    <w:uiPriority w:val="39"/>
    <w:pPr>
      <w:ind w:left="1680"/>
      <w:jc w:val="left"/>
    </w:pPr>
    <w:rPr>
      <w:rFonts w:eastAsiaTheme="minorHAnsi"/>
      <w:sz w:val="18"/>
      <w:szCs w:val="18"/>
    </w:rPr>
  </w:style>
  <w:style w:type="paragraph" w:styleId="9">
    <w:name w:val="toc 1"/>
    <w:basedOn w:val="1"/>
    <w:next w:val="1"/>
    <w:unhideWhenUsed/>
    <w:qFormat/>
    <w:uiPriority w:val="39"/>
    <w:pPr>
      <w:spacing w:before="120"/>
      <w:jc w:val="left"/>
    </w:pPr>
    <w:rPr>
      <w:rFonts w:eastAsiaTheme="minorHAnsi"/>
      <w:b/>
      <w:bCs/>
      <w:caps/>
      <w:sz w:val="22"/>
      <w:szCs w:val="22"/>
    </w:rPr>
  </w:style>
  <w:style w:type="paragraph" w:styleId="10">
    <w:name w:val="toc 4"/>
    <w:basedOn w:val="1"/>
    <w:next w:val="1"/>
    <w:unhideWhenUsed/>
    <w:qFormat/>
    <w:uiPriority w:val="39"/>
    <w:pPr>
      <w:ind w:left="720"/>
      <w:jc w:val="left"/>
    </w:pPr>
    <w:rPr>
      <w:rFonts w:eastAsiaTheme="minorHAnsi"/>
      <w:sz w:val="18"/>
      <w:szCs w:val="18"/>
    </w:rPr>
  </w:style>
  <w:style w:type="paragraph" w:styleId="11">
    <w:name w:val="toc 6"/>
    <w:basedOn w:val="1"/>
    <w:next w:val="1"/>
    <w:unhideWhenUsed/>
    <w:qFormat/>
    <w:uiPriority w:val="39"/>
    <w:pPr>
      <w:ind w:left="1200"/>
      <w:jc w:val="left"/>
    </w:pPr>
    <w:rPr>
      <w:rFonts w:eastAsiaTheme="minorHAnsi"/>
      <w:sz w:val="18"/>
      <w:szCs w:val="18"/>
    </w:rPr>
  </w:style>
  <w:style w:type="paragraph" w:styleId="12">
    <w:name w:val="toc 2"/>
    <w:basedOn w:val="1"/>
    <w:next w:val="1"/>
    <w:unhideWhenUsed/>
    <w:qFormat/>
    <w:uiPriority w:val="39"/>
    <w:pPr>
      <w:ind w:left="240"/>
      <w:jc w:val="left"/>
    </w:pPr>
    <w:rPr>
      <w:rFonts w:eastAsiaTheme="minorHAnsi"/>
      <w:smallCaps/>
      <w:sz w:val="22"/>
      <w:szCs w:val="22"/>
    </w:rPr>
  </w:style>
  <w:style w:type="paragraph" w:styleId="13">
    <w:name w:val="toc 9"/>
    <w:basedOn w:val="1"/>
    <w:next w:val="1"/>
    <w:unhideWhenUsed/>
    <w:qFormat/>
    <w:uiPriority w:val="39"/>
    <w:pPr>
      <w:ind w:left="1920"/>
      <w:jc w:val="left"/>
    </w:pPr>
    <w:rPr>
      <w:rFonts w:eastAsiaTheme="minorHAnsi"/>
      <w:sz w:val="18"/>
      <w:szCs w:val="18"/>
    </w:rPr>
  </w:style>
  <w:style w:type="paragraph" w:styleId="14">
    <w:name w:val="Normal (Web)"/>
    <w:basedOn w:val="1"/>
    <w:unhideWhenUsed/>
    <w:qFormat/>
    <w:uiPriority w:val="99"/>
    <w:pPr>
      <w:jc w:val="left"/>
    </w:pPr>
    <w:rPr>
      <w:rFonts w:ascii="Calibri" w:hAnsi="Calibri" w:eastAsia="宋体" w:cs="Times New Roman"/>
      <w:kern w:val="0"/>
      <w:szCs w:val="22"/>
    </w:rPr>
  </w:style>
  <w:style w:type="character" w:styleId="16">
    <w:name w:val="Hyperlink"/>
    <w:basedOn w:val="1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8">
    <w:name w:val="标题 1字符"/>
    <w:basedOn w:val="15"/>
    <w:link w:val="2"/>
    <w:qFormat/>
    <w:uiPriority w:val="9"/>
    <w:rPr>
      <w:rFonts w:ascii="仿宋" w:hAnsi="仿宋" w:eastAsia="仿宋" w:cs="Times New Roman"/>
      <w:b/>
      <w:kern w:val="0"/>
      <w:sz w:val="28"/>
      <w:szCs w:val="28"/>
    </w:rPr>
  </w:style>
  <w:style w:type="character" w:customStyle="1" w:styleId="19">
    <w:name w:val="标题 3字符"/>
    <w:basedOn w:val="15"/>
    <w:link w:val="4"/>
    <w:qFormat/>
    <w:uiPriority w:val="9"/>
    <w:rPr>
      <w:rFonts w:ascii="仿宋" w:hAnsi="仿宋" w:eastAsia="仿宋"/>
      <w:b/>
      <w:sz w:val="28"/>
      <w:szCs w:val="28"/>
    </w:rPr>
  </w:style>
  <w:style w:type="paragraph" w:customStyle="1" w:styleId="20">
    <w:name w:val="List Paragraph"/>
    <w:basedOn w:val="1"/>
    <w:qFormat/>
    <w:uiPriority w:val="34"/>
    <w:pPr>
      <w:ind w:firstLine="420" w:firstLineChars="200"/>
    </w:pPr>
  </w:style>
  <w:style w:type="character" w:customStyle="1" w:styleId="21">
    <w:name w:val="标题 2字符"/>
    <w:basedOn w:val="15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22">
    <w:name w:val="p1"/>
    <w:basedOn w:val="1"/>
    <w:qFormat/>
    <w:uiPriority w:val="0"/>
    <w:pPr>
      <w:widowControl/>
    </w:pPr>
    <w:rPr>
      <w:rFonts w:ascii="Helvetica Neue" w:hAnsi="Helvetica Neue" w:cs="Times New Roman"/>
      <w:kern w:val="0"/>
      <w:sz w:val="18"/>
      <w:szCs w:val="18"/>
    </w:rPr>
  </w:style>
  <w:style w:type="paragraph" w:customStyle="1" w:styleId="23">
    <w:name w:val="p2"/>
    <w:basedOn w:val="1"/>
    <w:qFormat/>
    <w:uiPriority w:val="0"/>
    <w:pPr>
      <w:widowControl/>
      <w:jc w:val="center"/>
    </w:pPr>
    <w:rPr>
      <w:rFonts w:ascii="Helvetica Neue" w:hAnsi="Helvetica Neue" w:cs="Times New Roman"/>
      <w:kern w:val="0"/>
      <w:sz w:val="18"/>
      <w:szCs w:val="18"/>
    </w:rPr>
  </w:style>
  <w:style w:type="character" w:customStyle="1" w:styleId="24">
    <w:name w:val="s1"/>
    <w:basedOn w:val="15"/>
    <w:qFormat/>
    <w:uiPriority w:val="0"/>
    <w:rPr>
      <w:u w:val="single"/>
    </w:rPr>
  </w:style>
  <w:style w:type="character" w:customStyle="1" w:styleId="25">
    <w:name w:val="s2"/>
    <w:basedOn w:val="15"/>
    <w:qFormat/>
    <w:uiPriority w:val="0"/>
    <w:rPr>
      <w:rFonts w:hint="default" w:ascii="Lucida Grande" w:hAnsi="Lucida Grande" w:cs="Lucida Grande"/>
      <w:sz w:val="18"/>
      <w:szCs w:val="18"/>
    </w:rPr>
  </w:style>
  <w:style w:type="character" w:customStyle="1" w:styleId="26">
    <w:name w:val="s3"/>
    <w:basedOn w:val="15"/>
    <w:qFormat/>
    <w:uiPriority w:val="0"/>
    <w:rPr>
      <w:rFonts w:hint="eastAsia" w:ascii="PingFang SC" w:hAnsi="PingFang SC" w:eastAsia="PingFang SC"/>
      <w:sz w:val="18"/>
      <w:szCs w:val="18"/>
    </w:rPr>
  </w:style>
  <w:style w:type="paragraph" w:customStyle="1" w:styleId="27">
    <w:name w:val="TOC Heading"/>
    <w:basedOn w:val="2"/>
    <w:next w:val="1"/>
    <w:unhideWhenUsed/>
    <w:qFormat/>
    <w:uiPriority w:val="39"/>
    <w:pPr>
      <w:widowControl/>
      <w:spacing w:before="480" w:line="276" w:lineRule="auto"/>
      <w:jc w:val="left"/>
      <w:outlineLvl w:val="9"/>
    </w:pPr>
    <w:rPr>
      <w:rFonts w:asciiTheme="majorHAnsi" w:hAnsiTheme="majorHAnsi" w:eastAsiaTheme="majorEastAsia" w:cstheme="majorBidi"/>
      <w:bCs/>
      <w:color w:val="2F5597" w:themeColor="accent1" w:themeShade="BF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1436</Words>
  <Characters>1493</Characters>
  <Lines>16</Lines>
  <Paragraphs>4</Paragraphs>
  <ScaleCrop>false</ScaleCrop>
  <LinksUpToDate>false</LinksUpToDate>
  <CharactersWithSpaces>1518</CharactersWithSpaces>
  <Application>WPS Office_3.6.0.5672_F1E327BC-269C-435d-A152-05C5408002CA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2021-03-27T01:40:00Z</dcterms:created>
  <dc:creator>Microsoft Office 用户</dc:creator>
  <cp:lastModifiedBy>linan</cp:lastModifiedBy>
  <dcterms:modified xsi:type="dcterms:W3CDTF">2021-06-10T13:16:59Z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2052-3.6.0.5672</vt:lpwstr>
  </property>
</Properties>
</file>